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6D" w:rsidRPr="00847B85" w:rsidRDefault="00992A4C" w:rsidP="0038356D">
      <w:pPr>
        <w:pStyle w:val="Bodytext31"/>
        <w:shd w:val="clear" w:color="auto" w:fill="auto"/>
        <w:spacing w:after="120" w:line="240" w:lineRule="auto"/>
        <w:jc w:val="center"/>
        <w:rPr>
          <w:rStyle w:val="Bodytext2Exact2"/>
          <w:color w:val="00B050"/>
          <w:sz w:val="40"/>
          <w:szCs w:val="40"/>
        </w:rPr>
      </w:pPr>
      <w:r w:rsidRPr="00C4390A">
        <w:rPr>
          <w:rFonts w:cs="FreeSansBold"/>
          <w:b w:val="0"/>
          <w:bCs w:val="0"/>
          <w:noProof/>
          <w:color w:val="333333"/>
          <w:sz w:val="20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3E52D70D" wp14:editId="0B10DD73">
            <wp:simplePos x="0" y="0"/>
            <wp:positionH relativeFrom="column">
              <wp:posOffset>-747395</wp:posOffset>
            </wp:positionH>
            <wp:positionV relativeFrom="paragraph">
              <wp:posOffset>-567055</wp:posOffset>
            </wp:positionV>
            <wp:extent cx="7698740" cy="2609850"/>
            <wp:effectExtent l="0" t="0" r="0" b="0"/>
            <wp:wrapThrough wrapText="bothSides">
              <wp:wrapPolygon edited="0">
                <wp:start x="0" y="0"/>
                <wp:lineTo x="0" y="21442"/>
                <wp:lineTo x="21539" y="21442"/>
                <wp:lineTo x="21539" y="0"/>
                <wp:lineTo x="0" y="0"/>
              </wp:wrapPolygon>
            </wp:wrapThrough>
            <wp:docPr id="1" name="Картина 3" descr="C:\Users\Krasimira Sokolova\Documents\0 EEN-BG (2015-2016)\WP5 Promotion\Брандиране\network_name_and_curve\NET-curve-vertical light or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asimira Sokolova\Documents\0 EEN-BG (2015-2016)\WP5 Promotion\Брандиране\network_name_and_curve\NET-curve-vertical light orange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74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38356D" w:rsidRPr="00847B85">
        <w:rPr>
          <w:rStyle w:val="hps"/>
          <w:color w:val="00B050"/>
          <w:sz w:val="40"/>
          <w:szCs w:val="40"/>
        </w:rPr>
        <w:t>Увеличаване на правата на</w:t>
      </w:r>
      <w:r w:rsidR="0038356D" w:rsidRPr="00847B85">
        <w:rPr>
          <w:color w:val="00B050"/>
          <w:sz w:val="40"/>
          <w:szCs w:val="40"/>
        </w:rPr>
        <w:t xml:space="preserve"> </w:t>
      </w:r>
      <w:r w:rsidR="0038356D" w:rsidRPr="00847B85">
        <w:rPr>
          <w:rStyle w:val="hps"/>
          <w:color w:val="00B050"/>
          <w:sz w:val="40"/>
          <w:szCs w:val="40"/>
        </w:rPr>
        <w:t>националните органи за защита на конкуренцията с цел повишаване на тяхната ефективност</w:t>
      </w:r>
    </w:p>
    <w:p w:rsidR="0038356D" w:rsidRPr="0038356D" w:rsidRDefault="0038356D" w:rsidP="0038356D">
      <w:pPr>
        <w:spacing w:after="120" w:line="240" w:lineRule="auto"/>
        <w:jc w:val="center"/>
        <w:rPr>
          <w:color w:val="00B050"/>
          <w:sz w:val="40"/>
          <w:szCs w:val="40"/>
          <w:lang w:val="bg-BG"/>
        </w:rPr>
      </w:pPr>
      <w:r>
        <w:rPr>
          <w:color w:val="00B050"/>
          <w:sz w:val="40"/>
          <w:szCs w:val="40"/>
          <w:lang w:val="bg-BG"/>
        </w:rPr>
        <w:t>Пояснения</w:t>
      </w:r>
    </w:p>
    <w:p w:rsidR="0038356D" w:rsidRPr="00847B85" w:rsidRDefault="0038356D" w:rsidP="0038356D">
      <w:pPr>
        <w:pStyle w:val="Bodytext51"/>
        <w:numPr>
          <w:ilvl w:val="0"/>
          <w:numId w:val="1"/>
        </w:numPr>
        <w:shd w:val="clear" w:color="auto" w:fill="auto"/>
        <w:spacing w:before="0" w:after="120" w:line="240" w:lineRule="auto"/>
        <w:jc w:val="both"/>
        <w:rPr>
          <w:color w:val="00B050"/>
          <w:sz w:val="22"/>
          <w:szCs w:val="22"/>
        </w:rPr>
      </w:pPr>
      <w:r w:rsidRPr="00847B85">
        <w:rPr>
          <w:color w:val="00B050"/>
          <w:sz w:val="22"/>
          <w:szCs w:val="22"/>
        </w:rPr>
        <w:t>Цел на консултацията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>Целта на настоящата консултация е да се събере информация за това как по-добре да се обслужват гражданите на Европейския съюз чрез законодателната рамка на Съюза за защита на конкуренцията. Тази консултация приканва гражданите и заинтересованите страни да предоставят обратна информация за техния опит/ познания по въпроси, пред които могат да се изправят националните органи за защита на конкуренцията, които оказват влияние върху способността им да прилагат ефективно правилата за конкуренция на ЕС и какви действия, ако има такива, трябва да бъдат предприети в това отношение.</w:t>
      </w:r>
    </w:p>
    <w:p w:rsidR="0038356D" w:rsidRPr="00847B85" w:rsidRDefault="0038356D" w:rsidP="0038356D">
      <w:pPr>
        <w:pStyle w:val="Bodytext51"/>
        <w:numPr>
          <w:ilvl w:val="0"/>
          <w:numId w:val="1"/>
        </w:numPr>
        <w:shd w:val="clear" w:color="auto" w:fill="auto"/>
        <w:spacing w:before="0" w:after="120" w:line="240" w:lineRule="auto"/>
        <w:jc w:val="both"/>
        <w:rPr>
          <w:rStyle w:val="Bodytext50"/>
          <w:b/>
          <w:bCs/>
          <w:color w:val="00B050"/>
          <w:sz w:val="22"/>
          <w:szCs w:val="22"/>
        </w:rPr>
      </w:pPr>
      <w:r w:rsidRPr="00847B85">
        <w:rPr>
          <w:color w:val="00B050"/>
          <w:sz w:val="22"/>
          <w:szCs w:val="22"/>
        </w:rPr>
        <w:t>Информация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Политиката за конкуренцията в Европа е много важна част от вътрешния пазар. Целта на правилата за конкуренция в ЕС е да осигурят за всички в Европа по-добро качество и иновативни стоки и услуги на по-ниски цени. Политиката за конкуренция цели прилагане на правила, за да се гарантира, че предприятията се конкурират честно помежду си. Това насърчава предприемачеството и ефективността, създава по-голям избор за потребителите и помага за намаляване на цените и подобряване на качеството. Това са причините, поради които органите за защита на конкуренцията се борят срещу </w:t>
      </w:r>
      <w:proofErr w:type="spellStart"/>
      <w:r w:rsidRPr="00847B85">
        <w:rPr>
          <w:b w:val="0"/>
          <w:sz w:val="22"/>
          <w:szCs w:val="22"/>
        </w:rPr>
        <w:t>антиконкурентното</w:t>
      </w:r>
      <w:proofErr w:type="spellEnd"/>
      <w:r w:rsidRPr="00847B85">
        <w:rPr>
          <w:b w:val="0"/>
          <w:sz w:val="22"/>
          <w:szCs w:val="22"/>
        </w:rPr>
        <w:t xml:space="preserve"> поведение.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Националните органи за защита на конкуренцията са основни партньори за прилагане на правилата за конкуренция на ЕС заедно с Европейската комисия. От 2004г., националните органи за защита на конкуренцията са </w:t>
      </w:r>
      <w:proofErr w:type="spellStart"/>
      <w:r w:rsidRPr="00847B85">
        <w:rPr>
          <w:b w:val="0"/>
          <w:sz w:val="22"/>
          <w:szCs w:val="22"/>
        </w:rPr>
        <w:t>оправомощени</w:t>
      </w:r>
      <w:proofErr w:type="spellEnd"/>
      <w:r w:rsidRPr="00847B85">
        <w:rPr>
          <w:b w:val="0"/>
          <w:sz w:val="22"/>
          <w:szCs w:val="22"/>
        </w:rPr>
        <w:t xml:space="preserve"> по силата на Регламент №1/2003 да прилагат правилата за конкуренция на ЕС. Националните органи за защита на конкуренцията и Европейската комисия си сътрудничат тясно помежду си в Европейската мрежа по конкуренция, за да гарантират, че правилата на ЕС за конкуренцията се прилагат последователно.</w:t>
      </w:r>
      <w:r w:rsidRPr="00847B85">
        <w:rPr>
          <w:rStyle w:val="FootnoteReference"/>
          <w:b w:val="0"/>
          <w:sz w:val="22"/>
          <w:szCs w:val="22"/>
        </w:rPr>
        <w:footnoteReference w:id="1"/>
      </w:r>
      <w:r w:rsidRPr="00847B85">
        <w:rPr>
          <w:b w:val="0"/>
          <w:sz w:val="22"/>
          <w:szCs w:val="22"/>
        </w:rPr>
        <w:t xml:space="preserve"> 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Прилагането на правилата за конкуренция на ЕС, както от Европейската комисия, така и от националните органи за защита на конкуренцията е основен градивен елемент за създаване на отворен, конкурентен и иновативен единен пазар и е от решаващо значение за създаването на работни места и растеж във всички сектори на </w:t>
      </w:r>
      <w:r w:rsidRPr="00847B85">
        <w:rPr>
          <w:b w:val="0"/>
          <w:sz w:val="22"/>
          <w:szCs w:val="22"/>
        </w:rPr>
        <w:lastRenderedPageBreak/>
        <w:t>икономиката. По този начин националните органи за защита на конкуренцията играят ключова роля за гарантиране, че единният пазар работи добре и справедливо в полза на бизнеса и потребителите.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Националните органи за защита на конкуренцията имат потенциал да направят много повече. Не е достатъчно просто да се дадат правомощия на националните органи за защита на конкуренцията да прилагат </w:t>
      </w:r>
      <w:proofErr w:type="spellStart"/>
      <w:r w:rsidRPr="00847B85">
        <w:rPr>
          <w:b w:val="0"/>
          <w:sz w:val="22"/>
          <w:szCs w:val="22"/>
        </w:rPr>
        <w:t>антитръстовите</w:t>
      </w:r>
      <w:proofErr w:type="spellEnd"/>
      <w:r w:rsidRPr="00847B85">
        <w:rPr>
          <w:b w:val="0"/>
          <w:sz w:val="22"/>
          <w:szCs w:val="22"/>
        </w:rPr>
        <w:t xml:space="preserve"> правила на ЕС: те трябва да разполагат с необходимите средства и инструменти, за да действат ефективно.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i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На 9 юли 2014г. Комисията прие Съобщение относно Десет години прилагане на </w:t>
      </w:r>
      <w:proofErr w:type="spellStart"/>
      <w:r w:rsidRPr="00847B85">
        <w:rPr>
          <w:b w:val="0"/>
          <w:sz w:val="22"/>
          <w:szCs w:val="22"/>
        </w:rPr>
        <w:t>антитръстовото</w:t>
      </w:r>
      <w:proofErr w:type="spellEnd"/>
      <w:r w:rsidRPr="00847B85">
        <w:rPr>
          <w:b w:val="0"/>
          <w:sz w:val="22"/>
          <w:szCs w:val="22"/>
        </w:rPr>
        <w:t xml:space="preserve"> законодателство съгласно Регламент 1/2003: Постижения и бъдещи перспективи,</w:t>
      </w:r>
      <w:r w:rsidRPr="00847B85">
        <w:rPr>
          <w:rStyle w:val="FootnoteReference"/>
          <w:b w:val="0"/>
          <w:sz w:val="22"/>
          <w:szCs w:val="22"/>
        </w:rPr>
        <w:footnoteReference w:id="2"/>
      </w:r>
      <w:r w:rsidRPr="00847B85">
        <w:rPr>
          <w:b w:val="0"/>
          <w:sz w:val="22"/>
          <w:szCs w:val="22"/>
        </w:rPr>
        <w:t xml:space="preserve"> които идентифицираха области за действие, за да се дадат права на националните органи за защита на конкуренцията да бъдат по-ефективни </w:t>
      </w:r>
      <w:proofErr w:type="spellStart"/>
      <w:r w:rsidRPr="00847B85">
        <w:rPr>
          <w:b w:val="0"/>
          <w:sz w:val="22"/>
          <w:szCs w:val="22"/>
        </w:rPr>
        <w:t>правоприлагащи</w:t>
      </w:r>
      <w:proofErr w:type="spellEnd"/>
      <w:r w:rsidRPr="00847B85">
        <w:rPr>
          <w:b w:val="0"/>
          <w:sz w:val="22"/>
          <w:szCs w:val="22"/>
        </w:rPr>
        <w:t xml:space="preserve"> органи, </w:t>
      </w:r>
      <w:r w:rsidRPr="00847B85">
        <w:rPr>
          <w:b w:val="0"/>
          <w:i/>
          <w:sz w:val="22"/>
          <w:szCs w:val="22"/>
        </w:rPr>
        <w:t>а именно да гарантират, че националните органи защита на конкуренцията:</w:t>
      </w:r>
    </w:p>
    <w:p w:rsidR="0038356D" w:rsidRPr="00847B85" w:rsidRDefault="0038356D" w:rsidP="0038356D">
      <w:pPr>
        <w:pStyle w:val="Bodytext51"/>
        <w:numPr>
          <w:ilvl w:val="0"/>
          <w:numId w:val="2"/>
        </w:numPr>
        <w:shd w:val="clear" w:color="auto" w:fill="auto"/>
        <w:spacing w:before="0" w:after="0" w:line="240" w:lineRule="auto"/>
        <w:jc w:val="both"/>
        <w:rPr>
          <w:b w:val="0"/>
          <w:i/>
          <w:sz w:val="22"/>
          <w:szCs w:val="22"/>
        </w:rPr>
      </w:pPr>
      <w:r w:rsidRPr="00847B85">
        <w:rPr>
          <w:b w:val="0"/>
          <w:i/>
          <w:sz w:val="22"/>
          <w:szCs w:val="22"/>
        </w:rPr>
        <w:t>имат ефективен инструментариум за прилагане;</w:t>
      </w:r>
    </w:p>
    <w:p w:rsidR="0038356D" w:rsidRPr="00847B85" w:rsidRDefault="0038356D" w:rsidP="0038356D">
      <w:pPr>
        <w:pStyle w:val="Bodytext51"/>
        <w:numPr>
          <w:ilvl w:val="0"/>
          <w:numId w:val="2"/>
        </w:numPr>
        <w:shd w:val="clear" w:color="auto" w:fill="auto"/>
        <w:spacing w:before="0" w:after="0" w:line="240" w:lineRule="auto"/>
        <w:jc w:val="both"/>
        <w:rPr>
          <w:b w:val="0"/>
          <w:i/>
          <w:sz w:val="22"/>
          <w:szCs w:val="22"/>
        </w:rPr>
      </w:pPr>
      <w:r w:rsidRPr="00847B85">
        <w:rPr>
          <w:b w:val="0"/>
          <w:i/>
          <w:sz w:val="22"/>
          <w:szCs w:val="22"/>
        </w:rPr>
        <w:t>могат да налагат ефективни глоби;</w:t>
      </w:r>
    </w:p>
    <w:p w:rsidR="0038356D" w:rsidRPr="00847B85" w:rsidRDefault="0038356D" w:rsidP="0038356D">
      <w:pPr>
        <w:pStyle w:val="Bodytext51"/>
        <w:numPr>
          <w:ilvl w:val="0"/>
          <w:numId w:val="2"/>
        </w:numPr>
        <w:shd w:val="clear" w:color="auto" w:fill="auto"/>
        <w:spacing w:before="0" w:after="0" w:line="240" w:lineRule="auto"/>
        <w:jc w:val="both"/>
        <w:rPr>
          <w:b w:val="0"/>
          <w:i/>
          <w:sz w:val="22"/>
          <w:szCs w:val="22"/>
        </w:rPr>
      </w:pPr>
      <w:r w:rsidRPr="00847B85">
        <w:rPr>
          <w:b w:val="0"/>
          <w:i/>
          <w:sz w:val="22"/>
          <w:szCs w:val="22"/>
        </w:rPr>
        <w:t xml:space="preserve">имат ефективни програми за намаляване или освобождаване от санкции, за да насърчават фирмите да разкриват </w:t>
      </w:r>
      <w:proofErr w:type="spellStart"/>
      <w:r w:rsidRPr="00847B85">
        <w:rPr>
          <w:b w:val="0"/>
          <w:i/>
          <w:sz w:val="22"/>
          <w:szCs w:val="22"/>
        </w:rPr>
        <w:t>картелни</w:t>
      </w:r>
      <w:proofErr w:type="spellEnd"/>
      <w:r w:rsidRPr="00847B85">
        <w:rPr>
          <w:b w:val="0"/>
          <w:i/>
          <w:sz w:val="22"/>
          <w:szCs w:val="22"/>
        </w:rPr>
        <w:t xml:space="preserve"> споразумения и</w:t>
      </w:r>
    </w:p>
    <w:p w:rsidR="0038356D" w:rsidRPr="00847B85" w:rsidRDefault="0038356D" w:rsidP="0038356D">
      <w:pPr>
        <w:pStyle w:val="Bodytext51"/>
        <w:numPr>
          <w:ilvl w:val="0"/>
          <w:numId w:val="2"/>
        </w:numPr>
        <w:shd w:val="clear" w:color="auto" w:fill="auto"/>
        <w:spacing w:before="0" w:after="120" w:line="240" w:lineRule="auto"/>
        <w:jc w:val="both"/>
        <w:rPr>
          <w:b w:val="0"/>
          <w:i/>
          <w:sz w:val="22"/>
          <w:szCs w:val="22"/>
        </w:rPr>
      </w:pPr>
      <w:r w:rsidRPr="00847B85">
        <w:rPr>
          <w:b w:val="0"/>
          <w:i/>
          <w:sz w:val="22"/>
          <w:szCs w:val="22"/>
        </w:rPr>
        <w:t>разполагат с подходящи ресурси и са достатъчно независими.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Като </w:t>
      </w:r>
      <w:proofErr w:type="spellStart"/>
      <w:r w:rsidRPr="00847B85">
        <w:rPr>
          <w:b w:val="0"/>
          <w:sz w:val="22"/>
          <w:szCs w:val="22"/>
        </w:rPr>
        <w:t>последващи</w:t>
      </w:r>
      <w:proofErr w:type="spellEnd"/>
      <w:r w:rsidRPr="00847B85">
        <w:rPr>
          <w:b w:val="0"/>
          <w:sz w:val="22"/>
          <w:szCs w:val="22"/>
        </w:rPr>
        <w:t xml:space="preserve"> действия след Съобщението Комисията се е заела с подробно установяване на фактите заедно с националните органи за защита на конкуренцията. Тази публична консултация цели да получи становищата на заинтересованите страни, експерти и обществеността като цяло.</w:t>
      </w:r>
    </w:p>
    <w:p w:rsidR="0038356D" w:rsidRPr="00847B85" w:rsidRDefault="0038356D" w:rsidP="0038356D">
      <w:pPr>
        <w:pStyle w:val="Bodytext51"/>
        <w:numPr>
          <w:ilvl w:val="0"/>
          <w:numId w:val="1"/>
        </w:numPr>
        <w:shd w:val="clear" w:color="auto" w:fill="auto"/>
        <w:spacing w:before="0" w:after="120" w:line="240" w:lineRule="auto"/>
        <w:jc w:val="both"/>
        <w:rPr>
          <w:b w:val="0"/>
          <w:color w:val="00B050"/>
          <w:sz w:val="22"/>
          <w:szCs w:val="22"/>
        </w:rPr>
      </w:pPr>
      <w:r w:rsidRPr="00847B85">
        <w:rPr>
          <w:color w:val="00B050"/>
          <w:sz w:val="22"/>
          <w:szCs w:val="22"/>
        </w:rPr>
        <w:t>Общи указания за консултацията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color w:val="FF0000"/>
          <w:sz w:val="22"/>
          <w:szCs w:val="22"/>
        </w:rPr>
      </w:pPr>
      <w:r w:rsidRPr="00847B85">
        <w:rPr>
          <w:b w:val="0"/>
          <w:sz w:val="22"/>
          <w:szCs w:val="22"/>
        </w:rPr>
        <w:t xml:space="preserve">Приканваме всеки гражданин или заинтересована организация да участва в допитването. По-специално, заинтересовани страни, работещи в областта на конкуренцията, включително предприятия, техните правни и икономически </w:t>
      </w:r>
      <w:proofErr w:type="spellStart"/>
      <w:r w:rsidRPr="00847B85">
        <w:rPr>
          <w:b w:val="0"/>
          <w:sz w:val="22"/>
          <w:szCs w:val="22"/>
        </w:rPr>
        <w:t>съветници</w:t>
      </w:r>
      <w:proofErr w:type="spellEnd"/>
      <w:r w:rsidRPr="00847B85">
        <w:rPr>
          <w:b w:val="0"/>
          <w:sz w:val="22"/>
          <w:szCs w:val="22"/>
        </w:rPr>
        <w:t xml:space="preserve">, потребителски и индустриални асоциации и представители на академичната общност,  могат да отговорят на въпросника. </w:t>
      </w:r>
    </w:p>
    <w:p w:rsidR="0038356D" w:rsidRPr="00847B85" w:rsidRDefault="0038356D" w:rsidP="0038356D">
      <w:pPr>
        <w:pStyle w:val="Bodytext51"/>
        <w:shd w:val="clear" w:color="auto" w:fill="auto"/>
        <w:spacing w:before="0" w:after="120" w:line="240" w:lineRule="auto"/>
        <w:jc w:val="both"/>
        <w:rPr>
          <w:b w:val="0"/>
          <w:sz w:val="22"/>
          <w:szCs w:val="22"/>
        </w:rPr>
      </w:pPr>
      <w:r w:rsidRPr="00847B85">
        <w:rPr>
          <w:b w:val="0"/>
          <w:sz w:val="22"/>
          <w:szCs w:val="22"/>
        </w:rPr>
        <w:t>Приемат се и други коментари и информация, и по-специално, други документи, доклади, проучвания и т.н., които могат да са от значение по темата.</w:t>
      </w:r>
    </w:p>
    <w:p w:rsidR="00CD06A5" w:rsidRDefault="00CD06A5"/>
    <w:sectPr w:rsidR="00CD06A5" w:rsidSect="00992A4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3DE" w:rsidRDefault="00CC23DE" w:rsidP="0038356D">
      <w:pPr>
        <w:spacing w:after="0" w:line="240" w:lineRule="auto"/>
      </w:pPr>
      <w:r>
        <w:separator/>
      </w:r>
    </w:p>
  </w:endnote>
  <w:endnote w:type="continuationSeparator" w:id="0">
    <w:p w:rsidR="00CC23DE" w:rsidRDefault="00CC23DE" w:rsidP="0038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ans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3DE" w:rsidRDefault="00CC23DE" w:rsidP="0038356D">
      <w:pPr>
        <w:spacing w:after="0" w:line="240" w:lineRule="auto"/>
      </w:pPr>
      <w:r>
        <w:separator/>
      </w:r>
    </w:p>
  </w:footnote>
  <w:footnote w:type="continuationSeparator" w:id="0">
    <w:p w:rsidR="00CC23DE" w:rsidRDefault="00CC23DE" w:rsidP="0038356D">
      <w:pPr>
        <w:spacing w:after="0" w:line="240" w:lineRule="auto"/>
      </w:pPr>
      <w:r>
        <w:continuationSeparator/>
      </w:r>
    </w:p>
  </w:footnote>
  <w:footnote w:id="1">
    <w:p w:rsidR="0038356D" w:rsidRPr="00F82C66" w:rsidRDefault="0038356D" w:rsidP="0038356D">
      <w:pPr>
        <w:pStyle w:val="FootnoteText"/>
        <w:rPr>
          <w:rFonts w:ascii="Arial" w:hAnsi="Arial" w:cs="Arial"/>
          <w:i/>
          <w:sz w:val="18"/>
          <w:szCs w:val="18"/>
        </w:rPr>
      </w:pPr>
      <w:r w:rsidRPr="00F82C66">
        <w:rPr>
          <w:rStyle w:val="FootnoteReference"/>
          <w:rFonts w:ascii="Arial" w:hAnsi="Arial" w:cs="Arial"/>
          <w:i/>
          <w:sz w:val="18"/>
          <w:szCs w:val="18"/>
        </w:rPr>
        <w:footnoteRef/>
      </w:r>
      <w:r w:rsidRPr="00F82C66">
        <w:rPr>
          <w:rFonts w:ascii="Arial" w:hAnsi="Arial" w:cs="Arial"/>
          <w:i/>
          <w:sz w:val="18"/>
          <w:szCs w:val="18"/>
        </w:rPr>
        <w:t xml:space="preserve"> </w:t>
      </w:r>
      <w:r w:rsidRPr="00F82C66">
        <w:rPr>
          <w:rFonts w:ascii="Arial" w:hAnsi="Arial" w:cs="Arial"/>
          <w:i/>
          <w:sz w:val="18"/>
          <w:szCs w:val="18"/>
          <w:lang w:val="bg-BG"/>
        </w:rPr>
        <w:t>Повече информация за Европейската мрежа по конкуренция /</w:t>
      </w:r>
      <w:proofErr w:type="spellStart"/>
      <w:r w:rsidRPr="00F82C66">
        <w:rPr>
          <w:rFonts w:ascii="Arial" w:hAnsi="Arial" w:cs="Arial"/>
          <w:i/>
          <w:sz w:val="18"/>
          <w:szCs w:val="18"/>
          <w:lang w:val="bg-BG"/>
        </w:rPr>
        <w:t>European</w:t>
      </w:r>
      <w:proofErr w:type="spellEnd"/>
      <w:r w:rsidRPr="00F82C66">
        <w:rPr>
          <w:rFonts w:ascii="Arial" w:hAnsi="Arial" w:cs="Arial"/>
          <w:i/>
          <w:sz w:val="18"/>
          <w:szCs w:val="18"/>
          <w:lang w:val="bg-BG"/>
        </w:rPr>
        <w:t xml:space="preserve"> </w:t>
      </w:r>
      <w:proofErr w:type="spellStart"/>
      <w:r w:rsidRPr="00F82C66">
        <w:rPr>
          <w:rFonts w:ascii="Arial" w:hAnsi="Arial" w:cs="Arial"/>
          <w:i/>
          <w:sz w:val="18"/>
          <w:szCs w:val="18"/>
          <w:lang w:val="bg-BG"/>
        </w:rPr>
        <w:t>Competition</w:t>
      </w:r>
      <w:proofErr w:type="spellEnd"/>
      <w:r w:rsidRPr="00F82C66">
        <w:rPr>
          <w:rFonts w:ascii="Arial" w:hAnsi="Arial" w:cs="Arial"/>
          <w:i/>
          <w:sz w:val="18"/>
          <w:szCs w:val="18"/>
          <w:lang w:val="bg-BG"/>
        </w:rPr>
        <w:t xml:space="preserve"> </w:t>
      </w:r>
      <w:proofErr w:type="spellStart"/>
      <w:r w:rsidRPr="00F82C66">
        <w:rPr>
          <w:rFonts w:ascii="Arial" w:hAnsi="Arial" w:cs="Arial"/>
          <w:i/>
          <w:sz w:val="18"/>
          <w:szCs w:val="18"/>
          <w:lang w:val="bg-BG"/>
        </w:rPr>
        <w:t>Network</w:t>
      </w:r>
      <w:proofErr w:type="spellEnd"/>
      <w:r w:rsidRPr="00F82C66">
        <w:rPr>
          <w:rFonts w:ascii="Arial" w:hAnsi="Arial" w:cs="Arial"/>
          <w:i/>
          <w:sz w:val="18"/>
          <w:szCs w:val="18"/>
          <w:lang w:val="bg-BG"/>
        </w:rPr>
        <w:t xml:space="preserve"> (ECN)/ може да прочетете на: </w:t>
      </w:r>
      <w:r w:rsidRPr="00F82C66">
        <w:rPr>
          <w:rFonts w:ascii="Arial" w:hAnsi="Arial" w:cs="Arial"/>
          <w:i/>
          <w:iCs/>
          <w:color w:val="0089CD"/>
          <w:sz w:val="18"/>
          <w:szCs w:val="18"/>
        </w:rPr>
        <w:t>http://ec.europa.eu/competition/ecn/index_en.html</w:t>
      </w:r>
    </w:p>
  </w:footnote>
  <w:footnote w:id="2">
    <w:p w:rsidR="0038356D" w:rsidRPr="00F82C66" w:rsidRDefault="0038356D" w:rsidP="0038356D">
      <w:pPr>
        <w:pStyle w:val="FootnoteText"/>
        <w:rPr>
          <w:rFonts w:ascii="Arial" w:hAnsi="Arial" w:cs="Arial"/>
          <w:i/>
          <w:sz w:val="18"/>
          <w:lang w:val="bg-BG"/>
        </w:rPr>
      </w:pPr>
      <w:r w:rsidRPr="00F82C66">
        <w:rPr>
          <w:rStyle w:val="FootnoteReference"/>
          <w:rFonts w:ascii="Arial" w:hAnsi="Arial" w:cs="Arial"/>
          <w:i/>
          <w:sz w:val="18"/>
        </w:rPr>
        <w:footnoteRef/>
      </w:r>
      <w:r w:rsidRPr="00F82C66">
        <w:rPr>
          <w:rFonts w:ascii="Arial" w:hAnsi="Arial" w:cs="Arial"/>
          <w:i/>
          <w:sz w:val="18"/>
        </w:rPr>
        <w:t xml:space="preserve"> </w:t>
      </w:r>
      <w:r w:rsidRPr="00F82C66">
        <w:rPr>
          <w:rFonts w:ascii="Arial" w:hAnsi="Arial" w:cs="Arial"/>
          <w:i/>
          <w:sz w:val="18"/>
          <w:lang w:val="bg-BG"/>
        </w:rPr>
        <w:t>COM(2014) 453, 9.7.2014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81F66"/>
    <w:multiLevelType w:val="hybridMultilevel"/>
    <w:tmpl w:val="C682F864"/>
    <w:lvl w:ilvl="0" w:tplc="3776387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56D5042"/>
    <w:multiLevelType w:val="hybridMultilevel"/>
    <w:tmpl w:val="5456C6F0"/>
    <w:lvl w:ilvl="0" w:tplc="E0F80FB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6D"/>
    <w:rsid w:val="0038356D"/>
    <w:rsid w:val="00992A4C"/>
    <w:rsid w:val="00C66A13"/>
    <w:rsid w:val="00CC23DE"/>
    <w:rsid w:val="00CD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5">
    <w:name w:val="Body text (5)_"/>
    <w:basedOn w:val="DefaultParagraphFont"/>
    <w:link w:val="Bodytext51"/>
    <w:uiPriority w:val="99"/>
    <w:locked/>
    <w:rsid w:val="0038356D"/>
    <w:rPr>
      <w:rFonts w:ascii="Arial" w:hAnsi="Arial" w:cs="Arial"/>
      <w:b/>
      <w:bCs/>
      <w:sz w:val="26"/>
      <w:szCs w:val="26"/>
      <w:shd w:val="clear" w:color="auto" w:fill="FFFFFF"/>
    </w:rPr>
  </w:style>
  <w:style w:type="character" w:customStyle="1" w:styleId="Bodytext50">
    <w:name w:val="Body text (5)"/>
    <w:basedOn w:val="Bodytext5"/>
    <w:uiPriority w:val="99"/>
    <w:rsid w:val="0038356D"/>
    <w:rPr>
      <w:rFonts w:ascii="Arial" w:hAnsi="Arial" w:cs="Arial"/>
      <w:b/>
      <w:bCs/>
      <w:sz w:val="26"/>
      <w:szCs w:val="26"/>
      <w:shd w:val="clear" w:color="auto" w:fill="FFFFFF"/>
    </w:rPr>
  </w:style>
  <w:style w:type="paragraph" w:customStyle="1" w:styleId="Bodytext51">
    <w:name w:val="Body text (5)1"/>
    <w:basedOn w:val="Normal"/>
    <w:link w:val="Bodytext5"/>
    <w:uiPriority w:val="99"/>
    <w:rsid w:val="0038356D"/>
    <w:pPr>
      <w:widowControl w:val="0"/>
      <w:shd w:val="clear" w:color="auto" w:fill="FFFFFF"/>
      <w:spacing w:before="540" w:after="540" w:line="240" w:lineRule="atLeast"/>
    </w:pPr>
    <w:rPr>
      <w:rFonts w:ascii="Arial" w:hAnsi="Arial" w:cs="Arial"/>
      <w:b/>
      <w:bCs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uiPriority w:val="99"/>
    <w:rsid w:val="003835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356D"/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38356D"/>
    <w:rPr>
      <w:vertAlign w:val="superscript"/>
    </w:rPr>
  </w:style>
  <w:style w:type="character" w:customStyle="1" w:styleId="Bodytext2Exact2">
    <w:name w:val="Body text (2) Exact2"/>
    <w:basedOn w:val="DefaultParagraphFont"/>
    <w:uiPriority w:val="99"/>
    <w:rsid w:val="0038356D"/>
    <w:rPr>
      <w:rFonts w:ascii="Arial" w:hAnsi="Arial" w:cs="Arial"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38356D"/>
    <w:rPr>
      <w:rFonts w:ascii="Arial" w:hAnsi="Arial" w:cs="Arial"/>
      <w:b/>
      <w:bCs/>
      <w:sz w:val="50"/>
      <w:szCs w:val="5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38356D"/>
    <w:pPr>
      <w:widowControl w:val="0"/>
      <w:shd w:val="clear" w:color="auto" w:fill="FFFFFF"/>
      <w:spacing w:after="540" w:line="480" w:lineRule="exact"/>
    </w:pPr>
    <w:rPr>
      <w:rFonts w:ascii="Arial" w:hAnsi="Arial" w:cs="Arial"/>
      <w:b/>
      <w:bCs/>
      <w:sz w:val="50"/>
      <w:szCs w:val="50"/>
      <w:lang w:val="bg-BG"/>
    </w:rPr>
  </w:style>
  <w:style w:type="character" w:customStyle="1" w:styleId="hps">
    <w:name w:val="hps"/>
    <w:basedOn w:val="DefaultParagraphFont"/>
    <w:rsid w:val="003835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5">
    <w:name w:val="Body text (5)_"/>
    <w:basedOn w:val="DefaultParagraphFont"/>
    <w:link w:val="Bodytext51"/>
    <w:uiPriority w:val="99"/>
    <w:locked/>
    <w:rsid w:val="0038356D"/>
    <w:rPr>
      <w:rFonts w:ascii="Arial" w:hAnsi="Arial" w:cs="Arial"/>
      <w:b/>
      <w:bCs/>
      <w:sz w:val="26"/>
      <w:szCs w:val="26"/>
      <w:shd w:val="clear" w:color="auto" w:fill="FFFFFF"/>
    </w:rPr>
  </w:style>
  <w:style w:type="character" w:customStyle="1" w:styleId="Bodytext50">
    <w:name w:val="Body text (5)"/>
    <w:basedOn w:val="Bodytext5"/>
    <w:uiPriority w:val="99"/>
    <w:rsid w:val="0038356D"/>
    <w:rPr>
      <w:rFonts w:ascii="Arial" w:hAnsi="Arial" w:cs="Arial"/>
      <w:b/>
      <w:bCs/>
      <w:sz w:val="26"/>
      <w:szCs w:val="26"/>
      <w:shd w:val="clear" w:color="auto" w:fill="FFFFFF"/>
    </w:rPr>
  </w:style>
  <w:style w:type="paragraph" w:customStyle="1" w:styleId="Bodytext51">
    <w:name w:val="Body text (5)1"/>
    <w:basedOn w:val="Normal"/>
    <w:link w:val="Bodytext5"/>
    <w:uiPriority w:val="99"/>
    <w:rsid w:val="0038356D"/>
    <w:pPr>
      <w:widowControl w:val="0"/>
      <w:shd w:val="clear" w:color="auto" w:fill="FFFFFF"/>
      <w:spacing w:before="540" w:after="540" w:line="240" w:lineRule="atLeast"/>
    </w:pPr>
    <w:rPr>
      <w:rFonts w:ascii="Arial" w:hAnsi="Arial" w:cs="Arial"/>
      <w:b/>
      <w:bCs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uiPriority w:val="99"/>
    <w:rsid w:val="003835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356D"/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38356D"/>
    <w:rPr>
      <w:vertAlign w:val="superscript"/>
    </w:rPr>
  </w:style>
  <w:style w:type="character" w:customStyle="1" w:styleId="Bodytext2Exact2">
    <w:name w:val="Body text (2) Exact2"/>
    <w:basedOn w:val="DefaultParagraphFont"/>
    <w:uiPriority w:val="99"/>
    <w:rsid w:val="0038356D"/>
    <w:rPr>
      <w:rFonts w:ascii="Arial" w:hAnsi="Arial" w:cs="Arial"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38356D"/>
    <w:rPr>
      <w:rFonts w:ascii="Arial" w:hAnsi="Arial" w:cs="Arial"/>
      <w:b/>
      <w:bCs/>
      <w:sz w:val="50"/>
      <w:szCs w:val="5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38356D"/>
    <w:pPr>
      <w:widowControl w:val="0"/>
      <w:shd w:val="clear" w:color="auto" w:fill="FFFFFF"/>
      <w:spacing w:after="540" w:line="480" w:lineRule="exact"/>
    </w:pPr>
    <w:rPr>
      <w:rFonts w:ascii="Arial" w:hAnsi="Arial" w:cs="Arial"/>
      <w:b/>
      <w:bCs/>
      <w:sz w:val="50"/>
      <w:szCs w:val="50"/>
      <w:lang w:val="bg-BG"/>
    </w:rPr>
  </w:style>
  <w:style w:type="character" w:customStyle="1" w:styleId="hps">
    <w:name w:val="hps"/>
    <w:basedOn w:val="DefaultParagraphFont"/>
    <w:rsid w:val="00383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Boyadzhieva</cp:lastModifiedBy>
  <cp:revision>2</cp:revision>
  <dcterms:created xsi:type="dcterms:W3CDTF">2015-12-14T06:55:00Z</dcterms:created>
  <dcterms:modified xsi:type="dcterms:W3CDTF">2015-12-14T12:23:00Z</dcterms:modified>
</cp:coreProperties>
</file>